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Методист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32525 рублей (без вычета НДФЛ)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Квалификационные требования: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профессиональное образование по направлению подготовки «Образование и педагогические науки»; стаж работы не менее 2 лет в должности методиста или иной педагогической должности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Должностные обязанности: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Методическое сопровождение педагогов, руководителей, заместителей руководителей по вопросам обучения и воспитания в общеобразовательных организациях и организациях дополнительного образования.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Коммуникабельность, обучаемость, умение работать с документами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 общественного питания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33273 рублей (без вычета НДФЛ)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Квалификационные требования: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высшее/с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реднее профессиональное образование - программы подготовки квалифицированных рабочих (служащих)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нормативной документации в области пищевых продуктов; контроль выполнения правил и норм; знание порядка разработки технологической документации, рецептурных навыков и новых технологий в производстве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Должностные обязанности: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Содействовать внедрению прогрессивных технологических процессов производства продукции и совершенствования организации обслуживания питания обучающихся школьных столовых.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разработку и утверждение новых рецептур на блюда, кондитерские и кулинарные изделия с оформлением соответствующих нормативных документов.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Готовить предложения по расширению ассортимента и внедрению новых видов сырья.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оперативный контроль за качеством и соблюдением технологии приготовления пищи, за производственными процессами.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Отвечать за выполнение производственного контроля и его результаты.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 по закупкам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32525 рублей (без вычета НДФЛ)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Квалификационные требования: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9f9fa" w:val="clear"/>
        <w:spacing w:after="60" w:before="28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Высшее/среднее профессиональное образование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9f9fa" w:val="clear"/>
        <w:spacing w:after="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Дополнительное профессиональное образование - программы повышения квалификации и программы профессиональной переподготовки в сфере закупок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Должностные обязанности: </w:t>
      </w:r>
    </w:p>
    <w:p w:rsidR="00000000" w:rsidDel="00000000" w:rsidP="00000000" w:rsidRDefault="00000000" w:rsidRPr="00000000" w14:paraId="00000020">
      <w:pPr>
        <w:shd w:fill="f9f9fa" w:val="clear"/>
        <w:spacing w:line="240" w:lineRule="auto"/>
        <w:rPr>
          <w:rFonts w:ascii="Times New Roman" w:cs="Times New Roman" w:eastAsia="Times New Roman" w:hAnsi="Times New Roman"/>
          <w:b w:val="1"/>
          <w:color w:val="2528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82b"/>
          <w:sz w:val="24"/>
          <w:szCs w:val="24"/>
          <w:rtl w:val="0"/>
        </w:rPr>
        <w:t xml:space="preserve">Должностные обязанности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9f9fa" w:val="clear"/>
        <w:spacing w:after="60" w:before="28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Обработка и анализ информации о ценах на товары, работы, услуги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9f9fa" w:val="clear"/>
        <w:spacing w:after="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Формирование описания объекта закупки, требований, предъявляемых к участнику закупки, порядка оценки участников, формирование проекта контракта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9f9fa" w:val="clear"/>
        <w:spacing w:after="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Составление закупочной документации, подготовка и публичное размещение извещения об осуществлении закупки, документации о закупках, проектов контрактов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9f9fa" w:val="clear"/>
        <w:spacing w:after="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Осуществление организационно-технического обеспечения деятельности закупочных комиссий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9f9fa" w:val="clear"/>
        <w:spacing w:after="0" w:line="240" w:lineRule="auto"/>
        <w:ind w:left="0" w:hanging="360"/>
        <w:rPr>
          <w:color w:val="25282b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2b"/>
          <w:sz w:val="24"/>
          <w:szCs w:val="24"/>
          <w:rtl w:val="0"/>
        </w:rPr>
        <w:t xml:space="preserve">Разработка плана-графика и осуществление подготовки изменений для внесения в план-график, исполнения плана-графика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Бухгалтер-ревизор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32525 рублей (без вычета НДФЛ)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b w:val="0"/>
          <w:i w:val="0"/>
          <w:smallCaps w:val="0"/>
          <w:strike w:val="0"/>
          <w:color w:val="25282b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Квалификационные требования: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высшее/среднее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Должностные обязанности: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284" w:right="0" w:firstLine="284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предприятий по ведению бухгалтерского учета имущества, обязательств и хозяйственных операций, а также их подразделений, находящихся на самостоятельном балансе.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284" w:right="0" w:firstLine="284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Своевременно оформляет результаты ревизии и представляет их в соответствующие инстанции для принятия необходимых 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284" w:right="0" w:firstLine="284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82b"/>
          <w:sz w:val="24"/>
          <w:szCs w:val="24"/>
          <w:u w:val="none"/>
          <w:shd w:fill="auto" w:val="clear"/>
          <w:vertAlign w:val="baseline"/>
          <w:rtl w:val="0"/>
        </w:rPr>
        <w:t xml:space="preserve">Дает оперативные указания руководителям ревизуемого объекта об устранении выявленных нарушений и недостатков, проведении контрольных проверок выполненных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84"/>
          <w:tab w:val="left" w:pos="1620"/>
        </w:tabs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